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hint="default" w:eastAsia="宋体" w:cs="Arial"/>
          <w:b/>
          <w:sz w:val="24"/>
          <w:szCs w:val="24"/>
          <w:highlight w:val="none"/>
          <w:lang w:val="en-US" w:eastAsia="zh-CN"/>
        </w:rPr>
      </w:pPr>
      <w:r>
        <w:rPr>
          <w:rFonts w:cs="Arial"/>
          <w:b/>
          <w:bCs/>
          <w:sz w:val="24"/>
          <w:szCs w:val="24"/>
          <w:highlight w:val="none"/>
        </w:rPr>
        <w:t>3GPP TSG-RAN WG3 Meeting #1</w:t>
      </w:r>
      <w:r>
        <w:rPr>
          <w:rFonts w:hint="eastAsia" w:eastAsia="宋体" w:cs="Arial"/>
          <w:b/>
          <w:bCs/>
          <w:sz w:val="24"/>
          <w:szCs w:val="24"/>
          <w:highlight w:val="none"/>
          <w:lang w:val="en-US" w:eastAsia="zh-CN"/>
        </w:rPr>
        <w:t>21</w:t>
      </w:r>
      <w:r>
        <w:rPr>
          <w:rFonts w:cs="Arial"/>
          <w:b/>
          <w:sz w:val="24"/>
          <w:szCs w:val="24"/>
          <w:highlight w:val="none"/>
        </w:rPr>
        <w:tab/>
      </w:r>
      <w:r>
        <w:rPr>
          <w:rFonts w:hint="eastAsia"/>
          <w:b/>
          <w:i/>
          <w:sz w:val="28"/>
          <w:highlight w:val="none"/>
        </w:rPr>
        <w:t>R3-234404</w:t>
      </w:r>
      <w:bookmarkStart w:id="1" w:name="_GoBack"/>
      <w:bookmarkEnd w:id="1"/>
    </w:p>
    <w:p>
      <w:pPr>
        <w:pStyle w:val="15"/>
        <w:jc w:val="both"/>
        <w:rPr>
          <w:rFonts w:hint="eastAsia" w:eastAsia="宋体"/>
          <w:b/>
          <w:bCs w:val="0"/>
          <w:i w:val="0"/>
          <w:sz w:val="24"/>
          <w:highlight w:val="none"/>
        </w:rPr>
      </w:pPr>
      <w:r>
        <w:rPr>
          <w:rFonts w:hint="eastAsia" w:eastAsia="宋体"/>
          <w:b/>
          <w:bCs w:val="0"/>
          <w:i w:val="0"/>
          <w:sz w:val="24"/>
          <w:highlight w:val="none"/>
        </w:rPr>
        <w:t>Toulouse, 2</w:t>
      </w:r>
      <w:r>
        <w:rPr>
          <w:rFonts w:hint="eastAsia" w:eastAsia="宋体"/>
          <w:b/>
          <w:bCs w:val="0"/>
          <w:i w:val="0"/>
          <w:sz w:val="24"/>
          <w:highlight w:val="none"/>
          <w:lang w:val="en-US" w:eastAsia="zh-CN"/>
        </w:rPr>
        <w:t>1</w:t>
      </w:r>
      <w:r>
        <w:rPr>
          <w:rFonts w:hint="eastAsia" w:eastAsia="宋体"/>
          <w:b/>
          <w:bCs w:val="0"/>
          <w:i w:val="0"/>
          <w:sz w:val="24"/>
          <w:highlight w:val="none"/>
        </w:rPr>
        <w:t xml:space="preserve"> </w:t>
      </w:r>
      <w:r>
        <w:rPr>
          <w:rFonts w:hint="eastAsia" w:eastAsia="宋体"/>
          <w:b/>
          <w:bCs w:val="0"/>
          <w:i w:val="0"/>
          <w:sz w:val="24"/>
          <w:highlight w:val="none"/>
          <w:lang w:val="en-US" w:eastAsia="zh-CN"/>
        </w:rPr>
        <w:t>Aug</w:t>
      </w:r>
      <w:r>
        <w:rPr>
          <w:rFonts w:hint="eastAsia" w:eastAsia="宋体"/>
          <w:b/>
          <w:bCs w:val="0"/>
          <w:i w:val="0"/>
          <w:sz w:val="24"/>
          <w:highlight w:val="none"/>
        </w:rPr>
        <w:t xml:space="preserve"> – 2</w:t>
      </w:r>
      <w:r>
        <w:rPr>
          <w:rFonts w:hint="eastAsia" w:eastAsia="宋体"/>
          <w:b/>
          <w:bCs w:val="0"/>
          <w:i w:val="0"/>
          <w:sz w:val="24"/>
          <w:highlight w:val="none"/>
          <w:lang w:val="en-US" w:eastAsia="zh-CN"/>
        </w:rPr>
        <w:t>5</w:t>
      </w:r>
      <w:r>
        <w:rPr>
          <w:rFonts w:hint="eastAsia" w:eastAsia="宋体"/>
          <w:b/>
          <w:bCs w:val="0"/>
          <w:i w:val="0"/>
          <w:sz w:val="24"/>
          <w:highlight w:val="none"/>
        </w:rPr>
        <w:t xml:space="preserve"> </w:t>
      </w:r>
      <w:r>
        <w:rPr>
          <w:rFonts w:hint="eastAsia" w:eastAsia="宋体"/>
          <w:b/>
          <w:bCs w:val="0"/>
          <w:i w:val="0"/>
          <w:sz w:val="24"/>
          <w:highlight w:val="none"/>
          <w:lang w:val="en-US" w:eastAsia="zh-CN"/>
        </w:rPr>
        <w:t>Aug</w:t>
      </w:r>
      <w:r>
        <w:rPr>
          <w:rFonts w:hint="eastAsia" w:eastAsia="宋体"/>
          <w:b/>
          <w:bCs w:val="0"/>
          <w:i w:val="0"/>
          <w:sz w:val="24"/>
          <w:highlight w:val="none"/>
        </w:rPr>
        <w:t xml:space="preserve"> 2023</w:t>
      </w:r>
    </w:p>
    <w:p>
      <w:pPr>
        <w:pStyle w:val="15"/>
        <w:jc w:val="both"/>
        <w:rPr>
          <w:rFonts w:hint="eastAsia" w:eastAsia="宋体"/>
          <w:b/>
          <w:bCs w:val="0"/>
          <w:i w:val="0"/>
          <w:sz w:val="24"/>
          <w:highlight w:val="none"/>
        </w:rPr>
      </w:pPr>
    </w:p>
    <w:p>
      <w:pPr>
        <w:tabs>
          <w:tab w:val="left" w:pos="1985"/>
        </w:tabs>
        <w:ind w:left="1980" w:hanging="1980"/>
        <w:rPr>
          <w:rStyle w:val="74"/>
          <w:highlight w:val="none"/>
        </w:rPr>
      </w:pPr>
      <w:r>
        <w:rPr>
          <w:b/>
          <w:sz w:val="24"/>
          <w:highlight w:val="none"/>
        </w:rPr>
        <w:t>Title:</w:t>
      </w:r>
      <w:r>
        <w:rPr>
          <w:sz w:val="24"/>
          <w:highlight w:val="none"/>
        </w:rPr>
        <w:t xml:space="preserve"> </w:t>
      </w:r>
      <w:r>
        <w:rPr>
          <w:sz w:val="24"/>
          <w:highlight w:val="none"/>
        </w:rPr>
        <w:tab/>
      </w:r>
      <w:r>
        <w:rPr>
          <w:rFonts w:hint="eastAsia"/>
          <w:sz w:val="24"/>
          <w:highlight w:val="none"/>
        </w:rPr>
        <w:t>NR QoE continuity during intra-5GC inter-RAT handover</w:t>
      </w:r>
    </w:p>
    <w:p>
      <w:pPr>
        <w:tabs>
          <w:tab w:val="left" w:pos="1985"/>
        </w:tabs>
        <w:rPr>
          <w:rStyle w:val="74"/>
          <w:highlight w:val="none"/>
          <w:lang w:val="en-GB"/>
        </w:rPr>
      </w:pPr>
      <w:r>
        <w:rPr>
          <w:b/>
          <w:sz w:val="24"/>
          <w:highlight w:val="none"/>
        </w:rPr>
        <w:t xml:space="preserve">Source: </w:t>
      </w:r>
      <w:r>
        <w:rPr>
          <w:b/>
          <w:sz w:val="24"/>
          <w:highlight w:val="none"/>
        </w:rPr>
        <w:tab/>
      </w:r>
      <w:r>
        <w:rPr>
          <w:rFonts w:hint="eastAsia"/>
          <w:bCs/>
          <w:sz w:val="24"/>
          <w:highlight w:val="none"/>
        </w:rPr>
        <w:t>China Unicom</w:t>
      </w:r>
    </w:p>
    <w:p>
      <w:pPr>
        <w:tabs>
          <w:tab w:val="left" w:pos="1985"/>
        </w:tabs>
        <w:rPr>
          <w:rStyle w:val="74"/>
          <w:rFonts w:hint="eastAsia" w:eastAsia="宋体"/>
          <w:highlight w:val="none"/>
          <w:lang w:val="en-US" w:eastAsia="zh-CN"/>
        </w:rPr>
      </w:pPr>
      <w:r>
        <w:rPr>
          <w:b/>
          <w:sz w:val="24"/>
          <w:highlight w:val="none"/>
        </w:rPr>
        <w:t>Agenda item:</w:t>
      </w:r>
      <w:r>
        <w:rPr>
          <w:sz w:val="24"/>
          <w:highlight w:val="none"/>
        </w:rPr>
        <w:tab/>
      </w:r>
      <w:r>
        <w:rPr>
          <w:rFonts w:hint="eastAsia"/>
          <w:sz w:val="24"/>
          <w:highlight w:val="none"/>
          <w:lang w:val="en-US"/>
        </w:rPr>
        <w:t>11</w:t>
      </w:r>
      <w:r>
        <w:rPr>
          <w:sz w:val="24"/>
          <w:highlight w:val="none"/>
        </w:rPr>
        <w:t>.</w:t>
      </w:r>
      <w:r>
        <w:rPr>
          <w:rFonts w:hint="eastAsia" w:eastAsia="宋体"/>
          <w:sz w:val="24"/>
          <w:highlight w:val="none"/>
          <w:lang w:val="en-US" w:eastAsia="zh-CN"/>
        </w:rPr>
        <w:t>4</w:t>
      </w:r>
    </w:p>
    <w:p>
      <w:pPr>
        <w:tabs>
          <w:tab w:val="left" w:pos="1985"/>
        </w:tabs>
        <w:ind w:left="1980" w:hanging="1980"/>
        <w:rPr>
          <w:rStyle w:val="74"/>
          <w:highlight w:val="none"/>
          <w:lang w:val="en-GB"/>
        </w:rPr>
      </w:pPr>
      <w:r>
        <w:rPr>
          <w:b/>
          <w:sz w:val="24"/>
          <w:highlight w:val="none"/>
        </w:rPr>
        <w:t>Document Type:</w:t>
      </w:r>
      <w:r>
        <w:rPr>
          <w:sz w:val="24"/>
          <w:highlight w:val="none"/>
        </w:rPr>
        <w:tab/>
      </w:r>
      <w:r>
        <w:rPr>
          <w:rFonts w:hint="eastAsia"/>
          <w:sz w:val="24"/>
          <w:highlight w:val="none"/>
        </w:rPr>
        <w:t>D</w:t>
      </w:r>
      <w:r>
        <w:rPr>
          <w:sz w:val="24"/>
          <w:highlight w:val="none"/>
        </w:rPr>
        <w:t>iscussion</w:t>
      </w:r>
    </w:p>
    <w:p>
      <w:pPr>
        <w:pStyle w:val="2"/>
        <w:rPr>
          <w:rFonts w:eastAsia="宋体"/>
          <w:highlight w:val="none"/>
        </w:rPr>
      </w:pPr>
      <w:r>
        <w:rPr>
          <w:rFonts w:eastAsia="宋体"/>
          <w:highlight w:val="none"/>
        </w:rPr>
        <w:t>Introduction</w:t>
      </w:r>
    </w:p>
    <w:p>
      <w:pPr>
        <w:rPr>
          <w:rFonts w:ascii="Times New Roman" w:hAnsi="Times New Roman"/>
          <w:sz w:val="21"/>
          <w:szCs w:val="21"/>
          <w:highlight w:val="none"/>
        </w:rPr>
      </w:pPr>
      <w:r>
        <w:rPr>
          <w:rFonts w:ascii="Times New Roman" w:hAnsi="Times New Roman"/>
          <w:sz w:val="21"/>
          <w:szCs w:val="21"/>
          <w:highlight w:val="none"/>
        </w:rPr>
        <w:t>The Work Item on QoE reporting has been agreed in RAN#9</w:t>
      </w:r>
      <w:r>
        <w:rPr>
          <w:rFonts w:ascii="Times New Roman" w:hAnsi="Times New Roman" w:eastAsia="宋体"/>
          <w:sz w:val="21"/>
          <w:szCs w:val="21"/>
          <w:highlight w:val="none"/>
          <w:lang w:val="en-US"/>
        </w:rPr>
        <w:t>6</w:t>
      </w:r>
      <w:r>
        <w:rPr>
          <w:rFonts w:ascii="Times New Roman" w:hAnsi="Times New Roman"/>
          <w:sz w:val="21"/>
          <w:szCs w:val="21"/>
          <w:highlight w:val="none"/>
        </w:rPr>
        <w:t xml:space="preserve"> (RP-2</w:t>
      </w:r>
      <w:r>
        <w:rPr>
          <w:rFonts w:ascii="Times New Roman" w:hAnsi="Times New Roman" w:eastAsia="宋体"/>
          <w:sz w:val="21"/>
          <w:szCs w:val="21"/>
          <w:highlight w:val="none"/>
          <w:lang w:val="en-US"/>
        </w:rPr>
        <w:t>21803</w:t>
      </w:r>
      <w:r>
        <w:rPr>
          <w:rFonts w:ascii="Times New Roman" w:hAnsi="Times New Roman"/>
          <w:sz w:val="21"/>
          <w:szCs w:val="21"/>
          <w:highlight w:val="none"/>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after="0"/>
              <w:ind w:left="720" w:hanging="360"/>
              <w:rPr>
                <w:rFonts w:ascii="Times New Roman" w:hAnsi="Times New Roman"/>
                <w:sz w:val="21"/>
                <w:szCs w:val="21"/>
                <w:highlight w:val="none"/>
              </w:rPr>
            </w:pPr>
            <w:r>
              <w:rPr>
                <w:rFonts w:hint="eastAsia" w:ascii="Times New Roman" w:hAnsi="Times New Roman"/>
                <w:bCs/>
                <w:highlight w:val="none"/>
              </w:rPr>
              <w:t>Support the continuity of legacy QoE measurement job for streaming and MTSI service during intra-5GC inter-RAT handover process [RAN2, RAN3].</w:t>
            </w:r>
          </w:p>
        </w:tc>
      </w:tr>
    </w:tbl>
    <w:p>
      <w:pPr>
        <w:rPr>
          <w:rStyle w:val="43"/>
          <w:rFonts w:ascii="Times New Roman" w:hAnsi="Times New Roman" w:eastAsia="等线"/>
          <w:sz w:val="21"/>
          <w:szCs w:val="21"/>
          <w:highlight w:val="none"/>
          <w:lang w:val="en-GB"/>
        </w:rPr>
      </w:pPr>
    </w:p>
    <w:p>
      <w:pPr>
        <w:rPr>
          <w:rStyle w:val="43"/>
          <w:rFonts w:ascii="Times New Roman" w:hAnsi="Times New Roman" w:eastAsia="等线"/>
          <w:sz w:val="21"/>
          <w:szCs w:val="21"/>
          <w:highlight w:val="none"/>
        </w:rPr>
      </w:pPr>
      <w:r>
        <w:rPr>
          <w:rStyle w:val="43"/>
          <w:rFonts w:ascii="Times New Roman" w:hAnsi="Times New Roman"/>
          <w:sz w:val="21"/>
          <w:szCs w:val="21"/>
          <w:highlight w:val="none"/>
          <w:lang w:val="en-GB"/>
        </w:rPr>
        <w:t xml:space="preserve">This paper discusses how to </w:t>
      </w:r>
      <w:r>
        <w:rPr>
          <w:rStyle w:val="43"/>
          <w:rFonts w:hint="eastAsia" w:ascii="Times New Roman" w:hAnsi="Times New Roman" w:eastAsia="宋体"/>
          <w:sz w:val="21"/>
          <w:szCs w:val="21"/>
          <w:highlight w:val="none"/>
          <w:lang w:val="en-US" w:eastAsia="zh-CN"/>
        </w:rPr>
        <w:t xml:space="preserve">support the </w:t>
      </w:r>
      <w:r>
        <w:rPr>
          <w:rFonts w:hint="eastAsia" w:ascii="Times New Roman" w:hAnsi="Times New Roman"/>
          <w:bCs/>
          <w:highlight w:val="none"/>
        </w:rPr>
        <w:t>continuity of legacy QoE measurement job for streaming and MTSI service during intra-5GC inter-RAT handover process</w:t>
      </w:r>
      <w:r>
        <w:rPr>
          <w:rFonts w:ascii="Times New Roman" w:hAnsi="Times New Roman" w:eastAsia="宋体"/>
          <w:sz w:val="21"/>
          <w:szCs w:val="21"/>
          <w:highlight w:val="none"/>
          <w:lang w:val="en-US"/>
        </w:rPr>
        <w:t>.</w:t>
      </w:r>
      <w:r>
        <w:rPr>
          <w:rFonts w:hint="eastAsia" w:ascii="Times New Roman" w:hAnsi="Times New Roman" w:eastAsia="宋体"/>
          <w:sz w:val="21"/>
          <w:szCs w:val="21"/>
          <w:highlight w:val="none"/>
          <w:lang w:val="en-US"/>
        </w:rPr>
        <w:t xml:space="preserve"> </w:t>
      </w:r>
    </w:p>
    <w:p>
      <w:pPr>
        <w:pStyle w:val="2"/>
        <w:rPr>
          <w:rFonts w:eastAsia="宋体"/>
          <w:highlight w:val="none"/>
        </w:rPr>
      </w:pPr>
      <w:r>
        <w:rPr>
          <w:rFonts w:eastAsia="宋体"/>
          <w:highlight w:val="none"/>
        </w:rPr>
        <w:t>Discussion</w:t>
      </w:r>
    </w:p>
    <w:p>
      <w:pPr>
        <w:pStyle w:val="3"/>
        <w:ind w:left="1134" w:hanging="1134"/>
        <w:rPr>
          <w:rFonts w:eastAsia="宋体" w:cs="Times New Roman"/>
          <w:sz w:val="24"/>
          <w:szCs w:val="20"/>
          <w:highlight w:val="none"/>
          <w:lang w:val="en-US"/>
        </w:rPr>
      </w:pPr>
      <w:r>
        <w:rPr>
          <w:rFonts w:hint="eastAsia" w:eastAsia="宋体" w:cs="Times New Roman"/>
          <w:sz w:val="24"/>
          <w:szCs w:val="20"/>
          <w:highlight w:val="none"/>
          <w:lang w:val="en-US"/>
        </w:rPr>
        <w:t xml:space="preserve"> HO from NR to LTE/5GC </w:t>
      </w:r>
    </w:p>
    <w:p>
      <w:pPr>
        <w:rPr>
          <w:rFonts w:hint="eastAsia" w:ascii="Times New Roman" w:hAnsi="Times New Roman" w:eastAsia="等线" w:cs="Calibri"/>
          <w:bCs/>
          <w:sz w:val="22"/>
          <w:szCs w:val="22"/>
          <w:highlight w:val="none"/>
          <w:lang w:val="en-US" w:eastAsia="zh-CN" w:bidi="ar-SA"/>
        </w:rPr>
      </w:pPr>
      <w:r>
        <w:rPr>
          <w:rFonts w:hint="eastAsia" w:ascii="Times New Roman" w:hAnsi="Times New Roman" w:eastAsia="等线" w:cs="Calibri"/>
          <w:bCs/>
          <w:sz w:val="22"/>
          <w:szCs w:val="22"/>
          <w:highlight w:val="none"/>
          <w:lang w:val="en-US" w:eastAsia="zh-CN" w:bidi="ar-SA"/>
        </w:rPr>
        <w:t>In the current specification, the area scope is configured for only NR CGI, it needs to be enhanced to support E-UTRA CGI to support the intra-5GC inter-RAT handover between LTE/5GC and NR.</w:t>
      </w:r>
    </w:p>
    <w:p>
      <w:pPr>
        <w:rPr>
          <w:rFonts w:hint="eastAsia" w:ascii="Times New Roman" w:hAnsi="Times New Roman" w:eastAsia="等线"/>
          <w:bCs/>
          <w:sz w:val="22"/>
          <w:szCs w:val="22"/>
          <w:highlight w:val="none"/>
          <w:lang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1</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rPr>
        <w:t xml:space="preserve">The area scope </w:t>
      </w:r>
      <w:r>
        <w:rPr>
          <w:rFonts w:hint="eastAsia" w:ascii="Times New Roman" w:hAnsi="Times New Roman" w:eastAsia="等线"/>
          <w:b/>
          <w:sz w:val="22"/>
          <w:szCs w:val="22"/>
          <w:highlight w:val="none"/>
          <w:lang w:val="en-US" w:eastAsia="zh-CN"/>
        </w:rPr>
        <w:t xml:space="preserve">of QoE configuration </w:t>
      </w:r>
      <w:r>
        <w:rPr>
          <w:rFonts w:hint="eastAsia" w:ascii="Times New Roman" w:hAnsi="Times New Roman" w:eastAsia="等线"/>
          <w:b/>
          <w:sz w:val="22"/>
          <w:szCs w:val="22"/>
          <w:highlight w:val="none"/>
          <w:lang w:val="en-US"/>
        </w:rPr>
        <w:t>should be extend to support the E-UTRA CGI</w:t>
      </w:r>
      <w:r>
        <w:rPr>
          <w:rFonts w:hint="eastAsia" w:ascii="Times New Roman" w:hAnsi="Times New Roman" w:eastAsia="等线"/>
          <w:b/>
          <w:sz w:val="22"/>
          <w:szCs w:val="22"/>
          <w:highlight w:val="none"/>
          <w:lang w:val="en-US" w:eastAsia="zh-CN"/>
        </w:rPr>
        <w:t>.</w:t>
      </w:r>
    </w:p>
    <w:p>
      <w:pPr>
        <w:rPr>
          <w:rFonts w:hint="default" w:ascii="Times New Roman" w:hAnsi="Times New Roman" w:eastAsia="等线" w:cs="Calibri"/>
          <w:bCs/>
          <w:sz w:val="22"/>
          <w:szCs w:val="22"/>
          <w:highlight w:val="none"/>
          <w:lang w:val="en-US" w:eastAsia="zh-CN" w:bidi="ar-SA"/>
        </w:rPr>
      </w:pPr>
    </w:p>
    <w:p>
      <w:pPr>
        <w:rPr>
          <w:rFonts w:hint="default" w:ascii="Times New Roman" w:hAnsi="Times New Roman" w:eastAsia="等线" w:cs="Calibri"/>
          <w:bCs/>
          <w:sz w:val="22"/>
          <w:szCs w:val="22"/>
          <w:highlight w:val="none"/>
          <w:lang w:val="en-US" w:eastAsia="zh-CN" w:bidi="ar-SA"/>
        </w:rPr>
      </w:pPr>
      <w:r>
        <w:rPr>
          <w:rFonts w:hint="default" w:ascii="Times New Roman" w:hAnsi="Times New Roman" w:eastAsia="等线" w:cs="Calibri"/>
          <w:bCs/>
          <w:sz w:val="22"/>
          <w:szCs w:val="22"/>
          <w:highlight w:val="none"/>
          <w:lang w:val="en-US" w:eastAsia="zh-CN" w:bidi="ar-SA"/>
        </w:rPr>
        <w:t>During RAN2 Meeting #121, there is a LS send to RAN3: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ascii="Times New Roman" w:hAnsi="Times New Roman" w:eastAsia="等线" w:cs="Calibri"/>
                <w:bCs/>
                <w:sz w:val="22"/>
                <w:szCs w:val="22"/>
                <w:highlight w:val="none"/>
                <w:vertAlign w:val="baseline"/>
                <w:lang w:val="en-US" w:eastAsia="zh-CN" w:bidi="ar-SA"/>
              </w:rPr>
            </w:pPr>
            <w:r>
              <w:rPr>
                <w:rFonts w:hint="default" w:ascii="Times New Roman" w:hAnsi="Times New Roman" w:eastAsia="等线" w:cs="Calibri"/>
                <w:bCs/>
                <w:sz w:val="22"/>
                <w:szCs w:val="22"/>
                <w:highlight w:val="none"/>
                <w:vertAlign w:val="baseline"/>
                <w:lang w:val="en-US" w:eastAsia="zh-CN" w:bidi="ar-SA"/>
              </w:rPr>
              <w:t>Agree on the principles of Option 3 and Option 4:</w:t>
            </w:r>
          </w:p>
          <w:p>
            <w:pPr>
              <w:rPr>
                <w:rFonts w:hint="default" w:ascii="Times New Roman" w:hAnsi="Times New Roman" w:eastAsia="等线" w:cs="Calibri"/>
                <w:bCs/>
                <w:sz w:val="22"/>
                <w:szCs w:val="22"/>
                <w:highlight w:val="none"/>
                <w:vertAlign w:val="baseline"/>
                <w:lang w:val="en-US" w:eastAsia="zh-CN" w:bidi="ar-SA"/>
              </w:rPr>
            </w:pPr>
            <w:r>
              <w:rPr>
                <w:rFonts w:hint="default" w:ascii="Times New Roman" w:hAnsi="Times New Roman" w:eastAsia="等线" w:cs="Calibri"/>
                <w:bCs/>
                <w:sz w:val="22"/>
                <w:szCs w:val="22"/>
                <w:highlight w:val="none"/>
                <w:vertAlign w:val="baseline"/>
                <w:lang w:val="en-US" w:eastAsia="zh-CN" w:bidi="ar-SA"/>
              </w:rPr>
              <w:t>- Option 3: For HO from NR to LTE/5GC, the UE can keep and continue measurements for only</w:t>
            </w:r>
          </w:p>
          <w:p>
            <w:pPr>
              <w:rPr>
                <w:rFonts w:hint="default" w:ascii="Times New Roman" w:hAnsi="Times New Roman" w:eastAsia="等线" w:cs="Calibri"/>
                <w:bCs/>
                <w:sz w:val="22"/>
                <w:szCs w:val="22"/>
                <w:highlight w:val="none"/>
                <w:vertAlign w:val="baseline"/>
                <w:lang w:val="en-US" w:eastAsia="zh-CN" w:bidi="ar-SA"/>
              </w:rPr>
            </w:pPr>
            <w:r>
              <w:rPr>
                <w:rFonts w:hint="default" w:ascii="Times New Roman" w:hAnsi="Times New Roman" w:eastAsia="等线" w:cs="Calibri"/>
                <w:bCs/>
                <w:sz w:val="22"/>
                <w:szCs w:val="22"/>
                <w:highlight w:val="none"/>
                <w:vertAlign w:val="baseline"/>
                <w:lang w:val="en-US" w:eastAsia="zh-CN" w:bidi="ar-SA"/>
              </w:rPr>
              <w:t>one configuration for a service type supported in LTE</w:t>
            </w:r>
            <w:r>
              <w:rPr>
                <w:rFonts w:hint="eastAsia" w:ascii="Times New Roman" w:hAnsi="Times New Roman" w:eastAsia="等线" w:cs="Calibri"/>
                <w:bCs/>
                <w:sz w:val="22"/>
                <w:szCs w:val="22"/>
                <w:highlight w:val="none"/>
                <w:vertAlign w:val="baseline"/>
                <w:lang w:val="en-US" w:eastAsia="zh-CN" w:bidi="ar-SA"/>
              </w:rPr>
              <w:t>.</w:t>
            </w:r>
          </w:p>
        </w:tc>
      </w:tr>
    </w:tbl>
    <w:p>
      <w:pPr>
        <w:rPr>
          <w:rFonts w:hint="default" w:ascii="Times New Roman" w:hAnsi="Times New Roman" w:eastAsia="等线" w:cs="Calibri"/>
          <w:bCs/>
          <w:sz w:val="22"/>
          <w:szCs w:val="22"/>
          <w:highlight w:val="none"/>
          <w:lang w:val="en-US" w:eastAsia="zh-CN" w:bidi="ar-SA"/>
        </w:rPr>
      </w:pPr>
    </w:p>
    <w:p>
      <w:pPr>
        <w:rPr>
          <w:rFonts w:hint="default" w:ascii="Times New Roman" w:hAnsi="Times New Roman" w:eastAsia="等线" w:cs="Calibri"/>
          <w:bCs/>
          <w:sz w:val="22"/>
          <w:szCs w:val="22"/>
          <w:highlight w:val="none"/>
          <w:lang w:val="en-US" w:eastAsia="zh-CN" w:bidi="ar-SA"/>
        </w:rPr>
      </w:pPr>
      <w:r>
        <w:rPr>
          <w:rFonts w:hint="eastAsia" w:ascii="Times New Roman" w:hAnsi="Times New Roman" w:eastAsia="等线" w:cs="Calibri"/>
          <w:bCs/>
          <w:sz w:val="22"/>
          <w:szCs w:val="22"/>
          <w:highlight w:val="none"/>
          <w:lang w:val="en-US" w:eastAsia="zh-CN" w:bidi="ar-SA"/>
        </w:rPr>
        <w:t>In this release, the NR QoE enhancement will not have any impacts to current LTE specification, but the QoE configuration for LTE and NR are different, some enhancements for how to coordinate the configuration between LTE and NR are needed.</w:t>
      </w:r>
    </w:p>
    <w:p>
      <w:pPr>
        <w:rPr>
          <w:rFonts w:hint="eastAsia" w:ascii="Times New Roman" w:hAnsi="Times New Roman" w:eastAsia="等线" w:cs="Calibri"/>
          <w:bCs/>
          <w:sz w:val="22"/>
          <w:szCs w:val="22"/>
          <w:highlight w:val="none"/>
          <w:lang w:val="en-US" w:eastAsia="zh-CN" w:bidi="ar-SA"/>
        </w:rPr>
      </w:pPr>
      <w:r>
        <w:rPr>
          <w:rFonts w:hint="eastAsia" w:ascii="Times New Roman" w:hAnsi="Times New Roman" w:eastAsia="等线" w:cs="Calibri"/>
          <w:bCs/>
          <w:sz w:val="22"/>
          <w:szCs w:val="22"/>
          <w:highlight w:val="none"/>
          <w:lang w:val="en-US" w:eastAsia="zh-CN" w:bidi="ar-SA"/>
        </w:rPr>
        <w:t xml:space="preserve">In NR, multiple QoE configurations are supported, and in LTE, only one QoE configuration is supported. </w:t>
      </w:r>
    </w:p>
    <w:p>
      <w:pPr>
        <w:rPr>
          <w:rFonts w:hint="eastAsia" w:ascii="Times New Roman" w:hAnsi="Times New Roman" w:eastAsia="等线" w:cs="Calibri"/>
          <w:bCs/>
          <w:sz w:val="22"/>
          <w:szCs w:val="22"/>
          <w:highlight w:val="none"/>
          <w:lang w:val="en-US" w:eastAsia="zh-CN" w:bidi="ar-SA"/>
        </w:rPr>
      </w:pPr>
      <w:r>
        <w:rPr>
          <w:rFonts w:hint="eastAsia" w:ascii="Times New Roman" w:hAnsi="Times New Roman" w:eastAsia="等线" w:cs="Calibri"/>
          <w:bCs/>
          <w:sz w:val="22"/>
          <w:szCs w:val="22"/>
          <w:highlight w:val="none"/>
          <w:lang w:val="en-US" w:eastAsia="zh-CN" w:bidi="ar-SA"/>
        </w:rPr>
        <w:t>In RAN3#120 meeting, RAN3 have the following WA:</w:t>
      </w:r>
    </w:p>
    <w:p>
      <w:pPr>
        <w:rPr>
          <w:rFonts w:hint="default" w:ascii="Times New Roman" w:hAnsi="Times New Roman" w:eastAsia="等线" w:cs="Calibri"/>
          <w:bCs/>
          <w:sz w:val="22"/>
          <w:szCs w:val="22"/>
          <w:highlight w:val="none"/>
          <w:lang w:val="en-US" w:eastAsia="zh-CN" w:bidi="ar-SA"/>
        </w:rPr>
      </w:pPr>
      <w:r>
        <w:rPr>
          <w:rFonts w:ascii="Calibri" w:hAnsi="Calibri" w:cs="Calibri"/>
          <w:i/>
          <w:iCs/>
          <w:color w:val="00B050"/>
          <w:kern w:val="2"/>
          <w:sz w:val="22"/>
          <w:szCs w:val="22"/>
          <w:highlight w:val="none"/>
        </w:rPr>
        <w:t>WA: From NR to LTE, the source node adapts to the target node on deciding which one of the QoE configuration to keep.</w:t>
      </w:r>
    </w:p>
    <w:p>
      <w:pPr>
        <w:rPr>
          <w:rFonts w:hint="eastAsia" w:ascii="Times New Roman" w:hAnsi="Times New Roman" w:eastAsia="等线" w:cs="Calibri"/>
          <w:bCs/>
          <w:sz w:val="22"/>
          <w:szCs w:val="22"/>
          <w:highlight w:val="none"/>
          <w:lang w:val="en-US" w:eastAsia="zh-CN" w:bidi="ar-SA"/>
        </w:rPr>
      </w:pPr>
      <w:r>
        <w:rPr>
          <w:rFonts w:hint="eastAsia" w:ascii="Times New Roman" w:hAnsi="Times New Roman" w:eastAsia="等线" w:cs="Calibri"/>
          <w:bCs/>
          <w:sz w:val="22"/>
          <w:szCs w:val="22"/>
          <w:highlight w:val="none"/>
          <w:lang w:val="en-US" w:eastAsia="zh-CN" w:bidi="ar-SA"/>
        </w:rPr>
        <w:t>Considering there should be no impacts for LTE specification(TS36.331), the QoE configuration inside the RRC container can only transfer one QoE configuration according to current TS36.331, but multiple QoE configuration can be sent between NR and LTE outside the RRC container, which is already supported in current specification.</w:t>
      </w:r>
    </w:p>
    <w:p>
      <w:pPr>
        <w:rPr>
          <w:rFonts w:hint="default" w:ascii="Times New Roman" w:hAnsi="Times New Roman" w:eastAsia="等线" w:cs="Calibri"/>
          <w:bCs/>
          <w:sz w:val="22"/>
          <w:szCs w:val="22"/>
          <w:highlight w:val="none"/>
          <w:lang w:val="en-US" w:eastAsia="zh-CN" w:bidi="ar-SA"/>
        </w:rPr>
      </w:pPr>
      <w:r>
        <w:rPr>
          <w:rFonts w:hint="eastAsia" w:ascii="Times New Roman" w:hAnsi="Times New Roman" w:eastAsia="等线" w:cs="Calibri"/>
          <w:bCs/>
          <w:sz w:val="22"/>
          <w:szCs w:val="22"/>
          <w:highlight w:val="none"/>
          <w:lang w:val="en-US" w:eastAsia="zh-CN" w:bidi="ar-SA"/>
        </w:rPr>
        <w:t>There is a scenario that the UE move from NR to LTE, then move back to NR quickly, it is better for the NR to recover all the s-based QoE configuration in NR though only one QoE configuration is supported in LTE. In this scenario, all the s-based QoE configuration need to be sent from NR to LTE, and send back from LTE to NR when UE move back to NR.</w:t>
      </w:r>
    </w:p>
    <w:p>
      <w:pPr>
        <w:rPr>
          <w:rFonts w:hint="eastAsia" w:ascii="Times New Roman" w:hAnsi="Times New Roman" w:eastAsia="等线" w:cs="Calibri"/>
          <w:b/>
          <w:bCs w:val="0"/>
          <w:sz w:val="22"/>
          <w:szCs w:val="22"/>
          <w:highlight w:val="none"/>
          <w:lang w:val="en-US" w:eastAsia="zh-CN" w:bidi="ar-SA"/>
        </w:rPr>
      </w:pPr>
      <w:r>
        <w:rPr>
          <w:rFonts w:hint="default" w:ascii="Times New Roman" w:hAnsi="Times New Roman" w:eastAsia="等线" w:cs="Calibri"/>
          <w:b/>
          <w:bCs w:val="0"/>
          <w:sz w:val="22"/>
          <w:szCs w:val="22"/>
          <w:highlight w:val="none"/>
          <w:lang w:val="en-US" w:eastAsia="zh-CN" w:bidi="ar-SA"/>
        </w:rPr>
        <w:t xml:space="preserve">Proposal </w:t>
      </w:r>
      <w:r>
        <w:rPr>
          <w:rFonts w:hint="eastAsia" w:ascii="Times New Roman" w:hAnsi="Times New Roman" w:eastAsia="等线" w:cs="Calibri"/>
          <w:b/>
          <w:bCs w:val="0"/>
          <w:sz w:val="22"/>
          <w:szCs w:val="22"/>
          <w:highlight w:val="none"/>
          <w:lang w:val="en-US" w:eastAsia="zh-CN" w:bidi="ar-SA"/>
        </w:rPr>
        <w:t>2</w:t>
      </w:r>
      <w:r>
        <w:rPr>
          <w:rFonts w:hint="default" w:ascii="Times New Roman" w:hAnsi="Times New Roman" w:eastAsia="等线" w:cs="Calibri"/>
          <w:b/>
          <w:bCs w:val="0"/>
          <w:sz w:val="22"/>
          <w:szCs w:val="22"/>
          <w:highlight w:val="none"/>
          <w:lang w:val="en-US" w:eastAsia="zh-CN" w:bidi="ar-SA"/>
        </w:rPr>
        <w:t xml:space="preserve">: </w:t>
      </w:r>
      <w:r>
        <w:rPr>
          <w:rFonts w:hint="eastAsia" w:ascii="Times New Roman" w:hAnsi="Times New Roman" w:eastAsia="等线" w:cs="Calibri"/>
          <w:b/>
          <w:bCs w:val="0"/>
          <w:sz w:val="22"/>
          <w:szCs w:val="22"/>
          <w:highlight w:val="none"/>
          <w:lang w:val="en-US" w:eastAsia="zh-CN" w:bidi="ar-SA"/>
        </w:rPr>
        <w:t>The source NR node should send all the s-based QoE measurements configuration to target LTE node, and all the s-based QoE measurements configuration should be sent back from LTE to NR when UE move back to NR.</w:t>
      </w:r>
    </w:p>
    <w:p>
      <w:pPr>
        <w:rPr>
          <w:rFonts w:hint="eastAsia" w:ascii="Times New Roman" w:hAnsi="Times New Roman" w:eastAsia="等线"/>
          <w:b/>
          <w:sz w:val="22"/>
          <w:szCs w:val="22"/>
          <w:highlight w:val="none"/>
          <w:lang w:val="en-US" w:eastAsia="zh-CN"/>
        </w:rPr>
      </w:pPr>
      <w:r>
        <w:rPr>
          <w:rFonts w:hint="default" w:ascii="Times New Roman" w:hAnsi="Times New Roman" w:eastAsia="等线" w:cs="Calibri"/>
          <w:b/>
          <w:bCs w:val="0"/>
          <w:sz w:val="22"/>
          <w:szCs w:val="22"/>
          <w:highlight w:val="none"/>
          <w:lang w:val="en-US" w:eastAsia="zh-CN" w:bidi="ar-SA"/>
        </w:rPr>
        <w:t xml:space="preserve">Proposal </w:t>
      </w:r>
      <w:r>
        <w:rPr>
          <w:rFonts w:hint="eastAsia" w:ascii="Times New Roman" w:hAnsi="Times New Roman" w:eastAsia="等线" w:cs="Calibri"/>
          <w:b/>
          <w:bCs w:val="0"/>
          <w:sz w:val="22"/>
          <w:szCs w:val="22"/>
          <w:highlight w:val="none"/>
          <w:lang w:val="en-US" w:eastAsia="zh-CN" w:bidi="ar-SA"/>
        </w:rPr>
        <w:t>3</w:t>
      </w:r>
      <w:r>
        <w:rPr>
          <w:rFonts w:hint="default" w:ascii="Times New Roman" w:hAnsi="Times New Roman" w:eastAsia="等线" w:cs="Calibri"/>
          <w:b/>
          <w:bCs w:val="0"/>
          <w:sz w:val="22"/>
          <w:szCs w:val="22"/>
          <w:highlight w:val="none"/>
          <w:lang w:val="en-US" w:eastAsia="zh-CN" w:bidi="ar-SA"/>
        </w:rPr>
        <w:t xml:space="preserve">: </w:t>
      </w:r>
      <w:r>
        <w:rPr>
          <w:rFonts w:hint="eastAsia" w:ascii="Times New Roman" w:hAnsi="Times New Roman" w:eastAsia="等线"/>
          <w:b/>
          <w:sz w:val="22"/>
          <w:szCs w:val="22"/>
          <w:highlight w:val="none"/>
          <w:lang w:val="en-US" w:eastAsia="zh-CN"/>
        </w:rPr>
        <w:t xml:space="preserve">Turn the following WA to agreement: </w:t>
      </w:r>
    </w:p>
    <w:p>
      <w:pPr>
        <w:ind w:firstLine="1101" w:firstLineChars="500"/>
        <w:rPr>
          <w:rFonts w:hint="eastAsia" w:ascii="Times New Roman" w:hAnsi="Times New Roman" w:eastAsia="等线" w:cs="Calibri"/>
          <w:b/>
          <w:bCs w:val="0"/>
          <w:sz w:val="22"/>
          <w:szCs w:val="22"/>
          <w:highlight w:val="none"/>
          <w:lang w:val="en-US" w:eastAsia="zh-CN" w:bidi="ar-SA"/>
        </w:rPr>
      </w:pPr>
      <w:r>
        <w:rPr>
          <w:rFonts w:hint="eastAsia" w:ascii="Times New Roman" w:hAnsi="Times New Roman" w:eastAsia="等线" w:cs="Calibri"/>
          <w:b/>
          <w:bCs w:val="0"/>
          <w:sz w:val="22"/>
          <w:szCs w:val="22"/>
          <w:highlight w:val="none"/>
          <w:lang w:val="en-US" w:eastAsia="zh-CN" w:bidi="ar-SA"/>
        </w:rPr>
        <w:t>WA: From NR to LTE, the source node adapts to the target node on deciding which one of the QoE configuration to keep.</w:t>
      </w:r>
    </w:p>
    <w:p>
      <w:pPr>
        <w:rPr>
          <w:rFonts w:hint="default" w:ascii="Times New Roman" w:hAnsi="Times New Roman" w:eastAsia="等线" w:cs="Calibri"/>
          <w:b/>
          <w:bCs w:val="0"/>
          <w:sz w:val="22"/>
          <w:szCs w:val="22"/>
          <w:highlight w:val="none"/>
          <w:lang w:val="en-US" w:eastAsia="zh-CN" w:bidi="ar-SA"/>
        </w:rPr>
      </w:pPr>
      <w:r>
        <w:rPr>
          <w:rFonts w:hint="eastAsia" w:ascii="Times New Roman" w:hAnsi="Times New Roman" w:eastAsia="等线" w:cs="Calibri"/>
          <w:b/>
          <w:bCs w:val="0"/>
          <w:sz w:val="22"/>
          <w:szCs w:val="22"/>
          <w:highlight w:val="none"/>
          <w:lang w:val="en-US" w:eastAsia="zh-CN" w:bidi="ar-SA"/>
        </w:rPr>
        <w:t>Proposal 4: For the HO from NR to LTE/5GC, if the QoE configuration send from the source node is not supported by the target node (inside the RRC container), the target node can choose any QoE configuration outside the RRC container.</w:t>
      </w:r>
    </w:p>
    <w:p>
      <w:pPr>
        <w:rPr>
          <w:rFonts w:hint="default" w:ascii="Times New Roman" w:hAnsi="Times New Roman" w:eastAsia="等线"/>
          <w:b/>
          <w:bCs/>
          <w:sz w:val="22"/>
          <w:szCs w:val="22"/>
          <w:highlight w:val="none"/>
          <w:lang w:val="en-US" w:eastAsia="zh-CN"/>
        </w:rPr>
      </w:pPr>
    </w:p>
    <w:p>
      <w:pPr>
        <w:pStyle w:val="3"/>
        <w:ind w:left="1134" w:hanging="1134"/>
        <w:rPr>
          <w:rFonts w:eastAsia="宋体" w:cs="Times New Roman"/>
          <w:sz w:val="24"/>
          <w:szCs w:val="20"/>
          <w:highlight w:val="none"/>
          <w:lang w:val="en-US"/>
        </w:rPr>
      </w:pPr>
      <w:r>
        <w:rPr>
          <w:rFonts w:hint="eastAsia" w:eastAsia="宋体" w:cs="Times New Roman"/>
          <w:sz w:val="24"/>
          <w:szCs w:val="20"/>
          <w:highlight w:val="none"/>
          <w:lang w:val="en-US" w:eastAsia="zh-CN"/>
        </w:rPr>
        <w:t xml:space="preserve"> HO from LTE/5GC</w:t>
      </w:r>
      <w:r>
        <w:rPr>
          <w:rFonts w:hint="eastAsia" w:eastAsia="宋体" w:cs="Times New Roman"/>
          <w:sz w:val="24"/>
          <w:szCs w:val="20"/>
          <w:highlight w:val="none"/>
          <w:lang w:val="en-US"/>
        </w:rPr>
        <w:t xml:space="preserve"> </w:t>
      </w:r>
      <w:r>
        <w:rPr>
          <w:rFonts w:hint="eastAsia" w:eastAsia="宋体" w:cs="Times New Roman"/>
          <w:sz w:val="24"/>
          <w:szCs w:val="20"/>
          <w:highlight w:val="none"/>
          <w:lang w:val="en-US" w:eastAsia="zh-CN"/>
        </w:rPr>
        <w:t>to NR</w:t>
      </w:r>
    </w:p>
    <w:p>
      <w:pPr>
        <w:rPr>
          <w:rFonts w:hint="eastAsia"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Since the LTE/5GC only support one QoE configuration and it is no need to use QoE reference and RRC ID to identify different QoE configurations</w:t>
      </w:r>
      <w:r>
        <w:rPr>
          <w:rFonts w:hint="eastAsia" w:ascii="Times New Roman" w:hAnsi="Times New Roman" w:eastAsia="等线"/>
          <w:bCs/>
          <w:sz w:val="22"/>
          <w:szCs w:val="22"/>
          <w:highlight w:val="none"/>
          <w:lang w:val="en-US"/>
        </w:rPr>
        <w:t>.</w:t>
      </w:r>
      <w:r>
        <w:rPr>
          <w:rFonts w:hint="eastAsia" w:ascii="Times New Roman" w:hAnsi="Times New Roman" w:eastAsia="等线"/>
          <w:bCs/>
          <w:sz w:val="22"/>
          <w:szCs w:val="22"/>
          <w:highlight w:val="none"/>
          <w:lang w:val="en-US" w:eastAsia="zh-CN"/>
        </w:rPr>
        <w:t xml:space="preserve"> The target NR can allocate a RRC ID according to the QoE reference send from the source LTE/5GC in </w:t>
      </w:r>
      <w:r>
        <w:rPr>
          <w:rFonts w:hint="eastAsia" w:ascii="Times New Roman" w:hAnsi="Times New Roman" w:eastAsia="等线"/>
          <w:bCs/>
          <w:i/>
          <w:iCs/>
          <w:sz w:val="22"/>
          <w:szCs w:val="22"/>
          <w:highlight w:val="none"/>
          <w:lang w:val="en-US" w:eastAsia="zh-CN"/>
        </w:rPr>
        <w:t xml:space="preserve">HandoverCommand </w:t>
      </w:r>
      <w:r>
        <w:rPr>
          <w:rFonts w:hint="eastAsia" w:ascii="Times New Roman" w:hAnsi="Times New Roman" w:eastAsia="等线"/>
          <w:bCs/>
          <w:sz w:val="22"/>
          <w:szCs w:val="22"/>
          <w:highlight w:val="none"/>
          <w:lang w:val="en-US" w:eastAsia="zh-CN"/>
        </w:rPr>
        <w:t xml:space="preserve">message defined in TS38.331, and the RRC ID can be used by the QoE reporting send from UE to gNB. In Rel-17 NR QoE, the RRC ID is already supported in the TS38.331. </w:t>
      </w: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5</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eastAsia="zh-CN"/>
        </w:rPr>
        <w:t xml:space="preserve">Turn the following WA to agreement: </w:t>
      </w:r>
    </w:p>
    <w:p>
      <w:pPr>
        <w:ind w:firstLine="1101" w:firstLineChars="500"/>
        <w:rPr>
          <w:rFonts w:ascii="Times New Roman" w:hAnsi="Times New Roman" w:eastAsia="等线"/>
          <w:bCs/>
          <w:sz w:val="22"/>
          <w:szCs w:val="22"/>
          <w:highlight w:val="none"/>
        </w:rPr>
      </w:pPr>
      <w:r>
        <w:rPr>
          <w:rFonts w:hint="eastAsia" w:ascii="Times New Roman" w:hAnsi="Times New Roman" w:eastAsia="等线"/>
          <w:b/>
          <w:bCs/>
          <w:sz w:val="22"/>
          <w:szCs w:val="22"/>
          <w:highlight w:val="none"/>
          <w:lang w:val="en-US" w:eastAsia="zh-CN"/>
        </w:rPr>
        <w:t xml:space="preserve">WA: </w:t>
      </w:r>
      <w:r>
        <w:rPr>
          <w:rFonts w:ascii="Times New Roman" w:hAnsi="Times New Roman" w:eastAsia="等线"/>
          <w:b/>
          <w:bCs/>
          <w:sz w:val="22"/>
          <w:szCs w:val="22"/>
          <w:highlight w:val="none"/>
          <w:lang w:val="en-US"/>
        </w:rPr>
        <w:t xml:space="preserve">For </w:t>
      </w:r>
      <w:r>
        <w:rPr>
          <w:rFonts w:hint="eastAsia" w:ascii="Times New Roman" w:hAnsi="Times New Roman" w:eastAsia="等线"/>
          <w:b/>
          <w:bCs/>
          <w:sz w:val="22"/>
          <w:szCs w:val="22"/>
          <w:highlight w:val="none"/>
          <w:lang w:val="en-US" w:eastAsia="zh-CN"/>
        </w:rPr>
        <w:t>HO from LTE/5GC to NR, there is no impact for RAN3 specification</w:t>
      </w:r>
      <w:r>
        <w:rPr>
          <w:rFonts w:ascii="Times New Roman" w:hAnsi="Times New Roman" w:eastAsia="等线"/>
          <w:b/>
          <w:bCs/>
          <w:sz w:val="22"/>
          <w:szCs w:val="22"/>
          <w:highlight w:val="none"/>
          <w:lang w:val="en-US"/>
        </w:rPr>
        <w:t>.</w:t>
      </w:r>
    </w:p>
    <w:p>
      <w:pPr>
        <w:ind w:firstLine="1304" w:firstLineChars="0"/>
        <w:rPr>
          <w:rFonts w:hint="eastAsia"/>
          <w:highlight w:val="none"/>
          <w:lang w:val="en-US"/>
        </w:rPr>
      </w:pPr>
    </w:p>
    <w:p>
      <w:pPr>
        <w:pStyle w:val="2"/>
        <w:rPr>
          <w:rFonts w:eastAsia="宋体"/>
          <w:highlight w:val="none"/>
        </w:rPr>
      </w:pPr>
      <w:r>
        <w:rPr>
          <w:rFonts w:eastAsia="宋体"/>
          <w:highlight w:val="none"/>
        </w:rPr>
        <w:t>Conclusion</w:t>
      </w:r>
    </w:p>
    <w:p>
      <w:pPr>
        <w:rPr>
          <w:rFonts w:hint="eastAsia" w:ascii="Times New Roman" w:hAnsi="Times New Roman" w:eastAsia="等线"/>
          <w:bCs/>
          <w:sz w:val="22"/>
          <w:szCs w:val="22"/>
          <w:highlight w:val="none"/>
          <w:lang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1</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rPr>
        <w:t xml:space="preserve">The </w:t>
      </w:r>
      <w:bookmarkStart w:id="0" w:name="OLE_LINK1"/>
      <w:r>
        <w:rPr>
          <w:rFonts w:hint="eastAsia" w:ascii="Times New Roman" w:hAnsi="Times New Roman" w:eastAsia="等线"/>
          <w:b/>
          <w:sz w:val="22"/>
          <w:szCs w:val="22"/>
          <w:highlight w:val="none"/>
          <w:lang w:val="en-US"/>
        </w:rPr>
        <w:t>area scope</w:t>
      </w:r>
      <w:bookmarkEnd w:id="0"/>
      <w:r>
        <w:rPr>
          <w:rFonts w:hint="eastAsia"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eastAsia="zh-CN"/>
        </w:rPr>
        <w:t xml:space="preserve">of QoE configuration </w:t>
      </w:r>
      <w:r>
        <w:rPr>
          <w:rFonts w:hint="eastAsia" w:ascii="Times New Roman" w:hAnsi="Times New Roman" w:eastAsia="等线"/>
          <w:b/>
          <w:sz w:val="22"/>
          <w:szCs w:val="22"/>
          <w:highlight w:val="none"/>
          <w:lang w:val="en-US"/>
        </w:rPr>
        <w:t>should be extend to support the E-UTRA CGI</w:t>
      </w:r>
      <w:r>
        <w:rPr>
          <w:rFonts w:hint="eastAsia" w:ascii="Times New Roman" w:hAnsi="Times New Roman" w:eastAsia="等线"/>
          <w:b/>
          <w:sz w:val="22"/>
          <w:szCs w:val="22"/>
          <w:highlight w:val="none"/>
          <w:lang w:val="en-US" w:eastAsia="zh-CN"/>
        </w:rPr>
        <w:t>.</w:t>
      </w:r>
    </w:p>
    <w:p>
      <w:pPr>
        <w:rPr>
          <w:rFonts w:hint="eastAsia" w:ascii="Times New Roman" w:hAnsi="Times New Roman" w:eastAsia="等线" w:cs="Calibri"/>
          <w:b/>
          <w:bCs w:val="0"/>
          <w:sz w:val="22"/>
          <w:szCs w:val="22"/>
          <w:highlight w:val="none"/>
          <w:lang w:val="en-US" w:eastAsia="zh-CN" w:bidi="ar-SA"/>
        </w:rPr>
      </w:pPr>
      <w:r>
        <w:rPr>
          <w:rFonts w:hint="default" w:ascii="Times New Roman" w:hAnsi="Times New Roman" w:eastAsia="等线" w:cs="Calibri"/>
          <w:b/>
          <w:bCs w:val="0"/>
          <w:sz w:val="22"/>
          <w:szCs w:val="22"/>
          <w:highlight w:val="none"/>
          <w:lang w:val="en-US" w:eastAsia="zh-CN" w:bidi="ar-SA"/>
        </w:rPr>
        <w:t xml:space="preserve">Proposal </w:t>
      </w:r>
      <w:r>
        <w:rPr>
          <w:rFonts w:hint="eastAsia" w:ascii="Times New Roman" w:hAnsi="Times New Roman" w:eastAsia="等线" w:cs="Calibri"/>
          <w:b/>
          <w:bCs w:val="0"/>
          <w:sz w:val="22"/>
          <w:szCs w:val="22"/>
          <w:highlight w:val="none"/>
          <w:lang w:val="en-US" w:eastAsia="zh-CN" w:bidi="ar-SA"/>
        </w:rPr>
        <w:t>2</w:t>
      </w:r>
      <w:r>
        <w:rPr>
          <w:rFonts w:hint="default" w:ascii="Times New Roman" w:hAnsi="Times New Roman" w:eastAsia="等线" w:cs="Calibri"/>
          <w:b/>
          <w:bCs w:val="0"/>
          <w:sz w:val="22"/>
          <w:szCs w:val="22"/>
          <w:highlight w:val="none"/>
          <w:lang w:val="en-US" w:eastAsia="zh-CN" w:bidi="ar-SA"/>
        </w:rPr>
        <w:t xml:space="preserve">: </w:t>
      </w:r>
      <w:r>
        <w:rPr>
          <w:rFonts w:hint="eastAsia" w:ascii="Times New Roman" w:hAnsi="Times New Roman" w:eastAsia="等线" w:cs="Calibri"/>
          <w:b/>
          <w:bCs w:val="0"/>
          <w:sz w:val="22"/>
          <w:szCs w:val="22"/>
          <w:highlight w:val="none"/>
          <w:lang w:val="en-US" w:eastAsia="zh-CN" w:bidi="ar-SA"/>
        </w:rPr>
        <w:t>The source NR node should send all the s-based QoE measurements configuration to target LTE node, and all the s-based QoE measurements configuration should be sent back from LTE to NR when UE move back to NR.</w:t>
      </w:r>
    </w:p>
    <w:p>
      <w:pPr>
        <w:rPr>
          <w:rFonts w:hint="eastAsia" w:ascii="Times New Roman" w:hAnsi="Times New Roman" w:eastAsia="等线"/>
          <w:b/>
          <w:sz w:val="22"/>
          <w:szCs w:val="22"/>
          <w:highlight w:val="none"/>
          <w:lang w:val="en-US" w:eastAsia="zh-CN"/>
        </w:rPr>
      </w:pPr>
      <w:r>
        <w:rPr>
          <w:rFonts w:hint="default" w:ascii="Times New Roman" w:hAnsi="Times New Roman" w:eastAsia="等线" w:cs="Calibri"/>
          <w:b/>
          <w:bCs w:val="0"/>
          <w:sz w:val="22"/>
          <w:szCs w:val="22"/>
          <w:highlight w:val="none"/>
          <w:lang w:val="en-US" w:eastAsia="zh-CN" w:bidi="ar-SA"/>
        </w:rPr>
        <w:t xml:space="preserve">Proposal </w:t>
      </w:r>
      <w:r>
        <w:rPr>
          <w:rFonts w:hint="eastAsia" w:ascii="Times New Roman" w:hAnsi="Times New Roman" w:eastAsia="等线" w:cs="Calibri"/>
          <w:b/>
          <w:bCs w:val="0"/>
          <w:sz w:val="22"/>
          <w:szCs w:val="22"/>
          <w:highlight w:val="none"/>
          <w:lang w:val="en-US" w:eastAsia="zh-CN" w:bidi="ar-SA"/>
        </w:rPr>
        <w:t>3</w:t>
      </w:r>
      <w:r>
        <w:rPr>
          <w:rFonts w:hint="default" w:ascii="Times New Roman" w:hAnsi="Times New Roman" w:eastAsia="等线" w:cs="Calibri"/>
          <w:b/>
          <w:bCs w:val="0"/>
          <w:sz w:val="22"/>
          <w:szCs w:val="22"/>
          <w:highlight w:val="none"/>
          <w:lang w:val="en-US" w:eastAsia="zh-CN" w:bidi="ar-SA"/>
        </w:rPr>
        <w:t xml:space="preserve">: </w:t>
      </w:r>
      <w:r>
        <w:rPr>
          <w:rFonts w:hint="eastAsia" w:ascii="Times New Roman" w:hAnsi="Times New Roman" w:eastAsia="等线"/>
          <w:b/>
          <w:sz w:val="22"/>
          <w:szCs w:val="22"/>
          <w:highlight w:val="none"/>
          <w:lang w:val="en-US" w:eastAsia="zh-CN"/>
        </w:rPr>
        <w:t xml:space="preserve">Turn the following WA to agreement: </w:t>
      </w:r>
    </w:p>
    <w:p>
      <w:pPr>
        <w:ind w:firstLine="1101" w:firstLineChars="500"/>
        <w:rPr>
          <w:rFonts w:hint="eastAsia" w:ascii="Times New Roman" w:hAnsi="Times New Roman" w:eastAsia="等线" w:cs="Calibri"/>
          <w:b/>
          <w:bCs w:val="0"/>
          <w:sz w:val="22"/>
          <w:szCs w:val="22"/>
          <w:highlight w:val="none"/>
          <w:lang w:val="en-US" w:eastAsia="zh-CN" w:bidi="ar-SA"/>
        </w:rPr>
      </w:pPr>
      <w:r>
        <w:rPr>
          <w:rFonts w:hint="eastAsia" w:ascii="Times New Roman" w:hAnsi="Times New Roman" w:eastAsia="等线" w:cs="Calibri"/>
          <w:b/>
          <w:bCs w:val="0"/>
          <w:sz w:val="22"/>
          <w:szCs w:val="22"/>
          <w:highlight w:val="none"/>
          <w:lang w:val="en-US" w:eastAsia="zh-CN" w:bidi="ar-SA"/>
        </w:rPr>
        <w:t>WA: From NR to LTE, the source node adapts to the target node on deciding which one of the QoE configuration to keep.</w:t>
      </w:r>
    </w:p>
    <w:p>
      <w:pPr>
        <w:rPr>
          <w:rFonts w:hint="eastAsia" w:ascii="Times New Roman" w:hAnsi="Times New Roman" w:eastAsia="等线" w:cs="Calibri"/>
          <w:b/>
          <w:bCs w:val="0"/>
          <w:sz w:val="22"/>
          <w:szCs w:val="22"/>
          <w:highlight w:val="none"/>
          <w:lang w:val="en-US" w:eastAsia="zh-CN" w:bidi="ar-SA"/>
        </w:rPr>
      </w:pPr>
      <w:r>
        <w:rPr>
          <w:rFonts w:hint="eastAsia" w:ascii="Times New Roman" w:hAnsi="Times New Roman" w:eastAsia="等线" w:cs="Calibri"/>
          <w:b/>
          <w:bCs w:val="0"/>
          <w:sz w:val="22"/>
          <w:szCs w:val="22"/>
          <w:highlight w:val="none"/>
          <w:lang w:val="en-US" w:eastAsia="zh-CN" w:bidi="ar-SA"/>
        </w:rPr>
        <w:t>Proposal 4: For the HO from NR to LTE/5GC, if the QoE configuration send from the source node is not supported by the target node (inside the RRC container), the target node can choose any QoE configuration outside the RRC container.</w:t>
      </w: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5</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eastAsia="zh-CN"/>
        </w:rPr>
        <w:t xml:space="preserve">Turn the following WA to agreement: </w:t>
      </w:r>
    </w:p>
    <w:p>
      <w:pPr>
        <w:ind w:firstLine="1101" w:firstLineChars="500"/>
        <w:rPr>
          <w:rFonts w:ascii="Times New Roman" w:hAnsi="Times New Roman" w:eastAsia="等线"/>
          <w:bCs/>
          <w:sz w:val="22"/>
          <w:szCs w:val="22"/>
          <w:highlight w:val="none"/>
        </w:rPr>
      </w:pPr>
      <w:r>
        <w:rPr>
          <w:rFonts w:hint="eastAsia" w:ascii="Times New Roman" w:hAnsi="Times New Roman" w:eastAsia="等线"/>
          <w:b/>
          <w:bCs/>
          <w:sz w:val="22"/>
          <w:szCs w:val="22"/>
          <w:highlight w:val="none"/>
          <w:lang w:val="en-US" w:eastAsia="zh-CN"/>
        </w:rPr>
        <w:t xml:space="preserve">WA: </w:t>
      </w:r>
      <w:r>
        <w:rPr>
          <w:rFonts w:ascii="Times New Roman" w:hAnsi="Times New Roman" w:eastAsia="等线"/>
          <w:b/>
          <w:bCs/>
          <w:sz w:val="22"/>
          <w:szCs w:val="22"/>
          <w:highlight w:val="none"/>
          <w:lang w:val="en-US"/>
        </w:rPr>
        <w:t xml:space="preserve">For </w:t>
      </w:r>
      <w:r>
        <w:rPr>
          <w:rFonts w:hint="eastAsia" w:ascii="Times New Roman" w:hAnsi="Times New Roman" w:eastAsia="等线"/>
          <w:b/>
          <w:bCs/>
          <w:sz w:val="22"/>
          <w:szCs w:val="22"/>
          <w:highlight w:val="none"/>
          <w:lang w:val="en-US" w:eastAsia="zh-CN"/>
        </w:rPr>
        <w:t>HO from LTE/5GC to NR, there is no impact for RAN3 specification</w:t>
      </w:r>
      <w:r>
        <w:rPr>
          <w:rFonts w:ascii="Times New Roman" w:hAnsi="Times New Roman" w:eastAsia="等线"/>
          <w:b/>
          <w:bCs/>
          <w:sz w:val="22"/>
          <w:szCs w:val="22"/>
          <w:highlight w:val="none"/>
          <w:lang w:val="en-US"/>
        </w:rPr>
        <w:t>.</w:t>
      </w:r>
    </w:p>
    <w:p>
      <w:pPr>
        <w:rPr>
          <w:highlight w:val="none"/>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3EE4"/>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488B"/>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3ED"/>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8800AA"/>
    <w:rsid w:val="01953CF4"/>
    <w:rsid w:val="01FF420C"/>
    <w:rsid w:val="02BE4901"/>
    <w:rsid w:val="02BE598D"/>
    <w:rsid w:val="03823CCE"/>
    <w:rsid w:val="04752218"/>
    <w:rsid w:val="04806B7E"/>
    <w:rsid w:val="05367F5E"/>
    <w:rsid w:val="05C55C2E"/>
    <w:rsid w:val="05D360C1"/>
    <w:rsid w:val="0637581D"/>
    <w:rsid w:val="063F7AB5"/>
    <w:rsid w:val="06BD2FCD"/>
    <w:rsid w:val="07564B65"/>
    <w:rsid w:val="08CD339C"/>
    <w:rsid w:val="08CF208F"/>
    <w:rsid w:val="091907C8"/>
    <w:rsid w:val="093667F2"/>
    <w:rsid w:val="09542584"/>
    <w:rsid w:val="0998330D"/>
    <w:rsid w:val="09D72C99"/>
    <w:rsid w:val="0A491491"/>
    <w:rsid w:val="0AC71EE3"/>
    <w:rsid w:val="0B5F6E5D"/>
    <w:rsid w:val="0BD95AE1"/>
    <w:rsid w:val="0C1C61E1"/>
    <w:rsid w:val="0C303ECB"/>
    <w:rsid w:val="0C8655D1"/>
    <w:rsid w:val="0CC46135"/>
    <w:rsid w:val="0E1D4901"/>
    <w:rsid w:val="0E9E384F"/>
    <w:rsid w:val="0EA15CEE"/>
    <w:rsid w:val="0F525467"/>
    <w:rsid w:val="0F8B024A"/>
    <w:rsid w:val="0FDA68AA"/>
    <w:rsid w:val="111F41C0"/>
    <w:rsid w:val="11A502B5"/>
    <w:rsid w:val="11CA3E95"/>
    <w:rsid w:val="125A4EAA"/>
    <w:rsid w:val="127B018E"/>
    <w:rsid w:val="12A02E80"/>
    <w:rsid w:val="12B23BCF"/>
    <w:rsid w:val="13270AC8"/>
    <w:rsid w:val="13392E6D"/>
    <w:rsid w:val="134342A3"/>
    <w:rsid w:val="144C30DB"/>
    <w:rsid w:val="14576AE2"/>
    <w:rsid w:val="146C2A33"/>
    <w:rsid w:val="14764DB5"/>
    <w:rsid w:val="15EF77C6"/>
    <w:rsid w:val="166824B4"/>
    <w:rsid w:val="16E46B93"/>
    <w:rsid w:val="17060160"/>
    <w:rsid w:val="183C4134"/>
    <w:rsid w:val="18650326"/>
    <w:rsid w:val="190A2F6F"/>
    <w:rsid w:val="193623D1"/>
    <w:rsid w:val="197A336A"/>
    <w:rsid w:val="19E57B15"/>
    <w:rsid w:val="1A145EE5"/>
    <w:rsid w:val="1A1B310D"/>
    <w:rsid w:val="1A5D4B06"/>
    <w:rsid w:val="1AA26842"/>
    <w:rsid w:val="1ADD0F9D"/>
    <w:rsid w:val="1B545DD1"/>
    <w:rsid w:val="1C1E5D3E"/>
    <w:rsid w:val="1CE41ED4"/>
    <w:rsid w:val="1D2241D4"/>
    <w:rsid w:val="1D43574A"/>
    <w:rsid w:val="1D634F0F"/>
    <w:rsid w:val="1F8B4261"/>
    <w:rsid w:val="1F9B7FFA"/>
    <w:rsid w:val="1FA54280"/>
    <w:rsid w:val="1FF706DD"/>
    <w:rsid w:val="211516F9"/>
    <w:rsid w:val="21171155"/>
    <w:rsid w:val="226E17EF"/>
    <w:rsid w:val="229E0E8F"/>
    <w:rsid w:val="22C20E17"/>
    <w:rsid w:val="22C9418D"/>
    <w:rsid w:val="23154713"/>
    <w:rsid w:val="23917DB2"/>
    <w:rsid w:val="23C82B52"/>
    <w:rsid w:val="23C925DD"/>
    <w:rsid w:val="242F2C13"/>
    <w:rsid w:val="244F69B0"/>
    <w:rsid w:val="24E56C29"/>
    <w:rsid w:val="257139A1"/>
    <w:rsid w:val="27C16C30"/>
    <w:rsid w:val="27DF4678"/>
    <w:rsid w:val="283D4410"/>
    <w:rsid w:val="295419DA"/>
    <w:rsid w:val="29B06017"/>
    <w:rsid w:val="29FE4971"/>
    <w:rsid w:val="2A2806F3"/>
    <w:rsid w:val="2A2F5FF6"/>
    <w:rsid w:val="2A305EC5"/>
    <w:rsid w:val="2A947DE8"/>
    <w:rsid w:val="2AA22934"/>
    <w:rsid w:val="2AC43948"/>
    <w:rsid w:val="2B28065B"/>
    <w:rsid w:val="2B345733"/>
    <w:rsid w:val="2B3F72B2"/>
    <w:rsid w:val="2B4F306B"/>
    <w:rsid w:val="2B7259B8"/>
    <w:rsid w:val="2BC947D2"/>
    <w:rsid w:val="2BDB354D"/>
    <w:rsid w:val="2C4C4BBC"/>
    <w:rsid w:val="2C925493"/>
    <w:rsid w:val="2CE03230"/>
    <w:rsid w:val="2D30621A"/>
    <w:rsid w:val="2DE64CDC"/>
    <w:rsid w:val="2E177FDB"/>
    <w:rsid w:val="2E3118D8"/>
    <w:rsid w:val="2E462A06"/>
    <w:rsid w:val="2E6A74B4"/>
    <w:rsid w:val="2E6D0438"/>
    <w:rsid w:val="2F157F4A"/>
    <w:rsid w:val="2F6621DF"/>
    <w:rsid w:val="2FB510EC"/>
    <w:rsid w:val="2FC32F68"/>
    <w:rsid w:val="30761D31"/>
    <w:rsid w:val="30BA3ED1"/>
    <w:rsid w:val="30BE3A29"/>
    <w:rsid w:val="31204968"/>
    <w:rsid w:val="33EA35AD"/>
    <w:rsid w:val="353A0AAB"/>
    <w:rsid w:val="357339D9"/>
    <w:rsid w:val="35A10BB2"/>
    <w:rsid w:val="36273A23"/>
    <w:rsid w:val="362B08C7"/>
    <w:rsid w:val="362E7B8F"/>
    <w:rsid w:val="36310C28"/>
    <w:rsid w:val="36792C62"/>
    <w:rsid w:val="368461D9"/>
    <w:rsid w:val="36F40202"/>
    <w:rsid w:val="37166B78"/>
    <w:rsid w:val="376A5776"/>
    <w:rsid w:val="382B3FB2"/>
    <w:rsid w:val="38C079AD"/>
    <w:rsid w:val="38C9453B"/>
    <w:rsid w:val="39004CC5"/>
    <w:rsid w:val="392D14D4"/>
    <w:rsid w:val="39411259"/>
    <w:rsid w:val="39796DCB"/>
    <w:rsid w:val="399043AA"/>
    <w:rsid w:val="3AE31128"/>
    <w:rsid w:val="3B674128"/>
    <w:rsid w:val="3BF646CD"/>
    <w:rsid w:val="3C7209A7"/>
    <w:rsid w:val="3CA45F55"/>
    <w:rsid w:val="3CAF0622"/>
    <w:rsid w:val="3CED5BAF"/>
    <w:rsid w:val="3E71782D"/>
    <w:rsid w:val="3EAD04CC"/>
    <w:rsid w:val="3F486CE9"/>
    <w:rsid w:val="3F5546BC"/>
    <w:rsid w:val="3F684F93"/>
    <w:rsid w:val="3FE148A8"/>
    <w:rsid w:val="3FE27CDB"/>
    <w:rsid w:val="3FEA48A9"/>
    <w:rsid w:val="3FED4319"/>
    <w:rsid w:val="415838B3"/>
    <w:rsid w:val="422C2522"/>
    <w:rsid w:val="42464D8C"/>
    <w:rsid w:val="42AC253D"/>
    <w:rsid w:val="43266FB8"/>
    <w:rsid w:val="43AC0714"/>
    <w:rsid w:val="43CF451B"/>
    <w:rsid w:val="43E26D2A"/>
    <w:rsid w:val="44EE7080"/>
    <w:rsid w:val="44F745CF"/>
    <w:rsid w:val="451C4FB1"/>
    <w:rsid w:val="454F0E79"/>
    <w:rsid w:val="455517CB"/>
    <w:rsid w:val="457825E4"/>
    <w:rsid w:val="459F465A"/>
    <w:rsid w:val="46432FE7"/>
    <w:rsid w:val="4693423A"/>
    <w:rsid w:val="4701694A"/>
    <w:rsid w:val="47072496"/>
    <w:rsid w:val="471A7B91"/>
    <w:rsid w:val="47275B26"/>
    <w:rsid w:val="47A47339"/>
    <w:rsid w:val="47B36DD3"/>
    <w:rsid w:val="47CC6C42"/>
    <w:rsid w:val="47D5208C"/>
    <w:rsid w:val="48C63DF7"/>
    <w:rsid w:val="48C77CED"/>
    <w:rsid w:val="494E3DC0"/>
    <w:rsid w:val="49823E03"/>
    <w:rsid w:val="4B3833FC"/>
    <w:rsid w:val="4B766B51"/>
    <w:rsid w:val="4B86360A"/>
    <w:rsid w:val="4B881720"/>
    <w:rsid w:val="4C1134F9"/>
    <w:rsid w:val="4CE8728E"/>
    <w:rsid w:val="4D6250F1"/>
    <w:rsid w:val="4DA17EF1"/>
    <w:rsid w:val="4E2646EA"/>
    <w:rsid w:val="4E4F060B"/>
    <w:rsid w:val="4EBC6B68"/>
    <w:rsid w:val="4F71072F"/>
    <w:rsid w:val="4FAD5B31"/>
    <w:rsid w:val="4FC30FC6"/>
    <w:rsid w:val="4FF614FC"/>
    <w:rsid w:val="50473316"/>
    <w:rsid w:val="513D08B7"/>
    <w:rsid w:val="514903C3"/>
    <w:rsid w:val="5191417F"/>
    <w:rsid w:val="51DC14C4"/>
    <w:rsid w:val="51ED116C"/>
    <w:rsid w:val="523A7C7F"/>
    <w:rsid w:val="52B6455F"/>
    <w:rsid w:val="52DD19BB"/>
    <w:rsid w:val="531829B6"/>
    <w:rsid w:val="531942AD"/>
    <w:rsid w:val="53E072D6"/>
    <w:rsid w:val="545123F3"/>
    <w:rsid w:val="549C38C8"/>
    <w:rsid w:val="54EC4684"/>
    <w:rsid w:val="551303A1"/>
    <w:rsid w:val="557615A5"/>
    <w:rsid w:val="56362637"/>
    <w:rsid w:val="56D0377C"/>
    <w:rsid w:val="56EA0AB1"/>
    <w:rsid w:val="574122DC"/>
    <w:rsid w:val="575D3263"/>
    <w:rsid w:val="576D087E"/>
    <w:rsid w:val="57835EA0"/>
    <w:rsid w:val="58335A5D"/>
    <w:rsid w:val="596C02F9"/>
    <w:rsid w:val="59B8498E"/>
    <w:rsid w:val="59BC4ED0"/>
    <w:rsid w:val="59CD1728"/>
    <w:rsid w:val="59E5080C"/>
    <w:rsid w:val="59EF1AD9"/>
    <w:rsid w:val="5A8D3A63"/>
    <w:rsid w:val="5A8F1875"/>
    <w:rsid w:val="5A9D3EE7"/>
    <w:rsid w:val="5AEC74F8"/>
    <w:rsid w:val="5B7079CB"/>
    <w:rsid w:val="5BD762C4"/>
    <w:rsid w:val="5C7143C6"/>
    <w:rsid w:val="5CC8203E"/>
    <w:rsid w:val="5CED4F6D"/>
    <w:rsid w:val="5CF862C6"/>
    <w:rsid w:val="5D1464A5"/>
    <w:rsid w:val="5D5C1E8F"/>
    <w:rsid w:val="5D5E4DB7"/>
    <w:rsid w:val="5DC74B50"/>
    <w:rsid w:val="5DF77DE0"/>
    <w:rsid w:val="5E1955EB"/>
    <w:rsid w:val="5E4A6AD5"/>
    <w:rsid w:val="5E7023B2"/>
    <w:rsid w:val="5F0F7504"/>
    <w:rsid w:val="5FC553F9"/>
    <w:rsid w:val="604C0A79"/>
    <w:rsid w:val="60A93A22"/>
    <w:rsid w:val="60C3026A"/>
    <w:rsid w:val="617B2260"/>
    <w:rsid w:val="629F20B6"/>
    <w:rsid w:val="62A10176"/>
    <w:rsid w:val="63097D09"/>
    <w:rsid w:val="639221EC"/>
    <w:rsid w:val="63D436E5"/>
    <w:rsid w:val="640139DD"/>
    <w:rsid w:val="64205924"/>
    <w:rsid w:val="646B048F"/>
    <w:rsid w:val="64B516AE"/>
    <w:rsid w:val="650F107A"/>
    <w:rsid w:val="65803F95"/>
    <w:rsid w:val="65B91104"/>
    <w:rsid w:val="660C196D"/>
    <w:rsid w:val="6669436A"/>
    <w:rsid w:val="666D3FDB"/>
    <w:rsid w:val="66CE5C6A"/>
    <w:rsid w:val="66FB3B9A"/>
    <w:rsid w:val="676A48B2"/>
    <w:rsid w:val="67A06F8C"/>
    <w:rsid w:val="67B54588"/>
    <w:rsid w:val="67DD6DAE"/>
    <w:rsid w:val="680F3235"/>
    <w:rsid w:val="689D062F"/>
    <w:rsid w:val="6900228C"/>
    <w:rsid w:val="69605A02"/>
    <w:rsid w:val="69862E6A"/>
    <w:rsid w:val="69A17C70"/>
    <w:rsid w:val="69CD0BDF"/>
    <w:rsid w:val="69E87B42"/>
    <w:rsid w:val="69EC32FE"/>
    <w:rsid w:val="69FA2796"/>
    <w:rsid w:val="6B376535"/>
    <w:rsid w:val="6B713E38"/>
    <w:rsid w:val="6B9F6E13"/>
    <w:rsid w:val="6BB87C7D"/>
    <w:rsid w:val="6BE50B5D"/>
    <w:rsid w:val="6C2548E3"/>
    <w:rsid w:val="6CEB7969"/>
    <w:rsid w:val="6CEE7C83"/>
    <w:rsid w:val="6DA4006D"/>
    <w:rsid w:val="6DB25003"/>
    <w:rsid w:val="6DDB620D"/>
    <w:rsid w:val="6E1A3027"/>
    <w:rsid w:val="6FA50228"/>
    <w:rsid w:val="6FC24370"/>
    <w:rsid w:val="6FDB386D"/>
    <w:rsid w:val="711E0693"/>
    <w:rsid w:val="721247B4"/>
    <w:rsid w:val="729D729D"/>
    <w:rsid w:val="72D958AB"/>
    <w:rsid w:val="732619F9"/>
    <w:rsid w:val="735B2D57"/>
    <w:rsid w:val="73F904AD"/>
    <w:rsid w:val="74346EAC"/>
    <w:rsid w:val="74516EE2"/>
    <w:rsid w:val="74D63C4F"/>
    <w:rsid w:val="75E83B00"/>
    <w:rsid w:val="76616E61"/>
    <w:rsid w:val="76A03DCF"/>
    <w:rsid w:val="77A33DD6"/>
    <w:rsid w:val="77E2122B"/>
    <w:rsid w:val="788C4C80"/>
    <w:rsid w:val="78A13E89"/>
    <w:rsid w:val="78D31F49"/>
    <w:rsid w:val="791259C0"/>
    <w:rsid w:val="796A1C3B"/>
    <w:rsid w:val="79F65D09"/>
    <w:rsid w:val="7A4660BA"/>
    <w:rsid w:val="7AC91CFF"/>
    <w:rsid w:val="7B110E84"/>
    <w:rsid w:val="7B2A4C01"/>
    <w:rsid w:val="7B3332AA"/>
    <w:rsid w:val="7B3A3F28"/>
    <w:rsid w:val="7BC1546B"/>
    <w:rsid w:val="7BFF1929"/>
    <w:rsid w:val="7BFF6BFE"/>
    <w:rsid w:val="7C03215E"/>
    <w:rsid w:val="7C0323A6"/>
    <w:rsid w:val="7C290923"/>
    <w:rsid w:val="7D314634"/>
    <w:rsid w:val="7E176AFE"/>
    <w:rsid w:val="7E80646A"/>
    <w:rsid w:val="7F2A369C"/>
    <w:rsid w:val="7F4E2B7E"/>
    <w:rsid w:val="7FA95A0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未处理的提及1"/>
    <w:basedOn w:val="21"/>
    <w:unhideWhenUsed/>
    <w:qFormat/>
    <w:uiPriority w:val="99"/>
    <w:rPr>
      <w:color w:val="605E5C"/>
      <w:shd w:val="clear" w:color="auto" w:fill="E1DFDD"/>
    </w:rPr>
  </w:style>
  <w:style w:type="character" w:customStyle="1" w:styleId="72">
    <w:name w:val="@他1"/>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4">
    <w:name w:val="首标题"/>
    <w:qFormat/>
    <w:uiPriority w:val="0"/>
    <w:rPr>
      <w:rFonts w:ascii="Arial" w:hAnsi="Arial" w:eastAsia="宋体"/>
      <w:sz w:val="24"/>
      <w:lang w:val="en-US" w:eastAsia="zh-CN" w:bidi="ar-SA"/>
    </w:rPr>
  </w:style>
  <w:style w:type="paragraph" w:customStyle="1" w:styleId="75">
    <w:name w:val="修订2"/>
    <w:hidden/>
    <w:semiHidden/>
    <w:qFormat/>
    <w:uiPriority w:val="99"/>
    <w:rPr>
      <w:rFonts w:ascii="Arial" w:hAnsi="Arial" w:eastAsia="Times New Roman" w:cs="Times New Roman"/>
      <w:lang w:val="en-GB" w:eastAsia="zh-CN" w:bidi="ar-SA"/>
    </w:rPr>
  </w:style>
  <w:style w:type="paragraph" w:customStyle="1" w:styleId="76">
    <w:name w:val="修订3"/>
    <w:hidden/>
    <w:semiHidden/>
    <w:qFormat/>
    <w:uiPriority w:val="99"/>
    <w:rPr>
      <w:rFonts w:ascii="Arial" w:hAnsi="Arial" w:eastAsia="Times New Roman" w:cs="Times New Roman"/>
      <w:lang w:val="en-GB" w:eastAsia="zh-CN" w:bidi="ar-SA"/>
    </w:rPr>
  </w:style>
  <w:style w:type="paragraph" w:customStyle="1" w:styleId="77">
    <w:name w:val="Revision"/>
    <w:hidden/>
    <w:semiHidden/>
    <w:qFormat/>
    <w:uiPriority w:val="99"/>
    <w:rPr>
      <w:rFonts w:ascii="Arial" w:hAnsi="Arial" w:eastAsia="Times New Roman" w:cs="Times New Roman"/>
      <w:lang w:val="en-GB" w:eastAsia="zh-CN" w:bidi="ar-SA"/>
    </w:rPr>
  </w:style>
  <w:style w:type="paragraph" w:customStyle="1" w:styleId="78">
    <w:name w:val="listparagraph3"/>
    <w:basedOn w:val="1"/>
    <w:semiHidden/>
    <w:qFormat/>
    <w:uiPriority w:val="0"/>
    <w:pPr>
      <w:spacing w:after="100" w:afterAutospacing="1"/>
    </w:pPr>
    <w:rPr>
      <w:rFonts w:ascii="Calibri" w:hAnsi="Calibri" w:eastAsia="宋体" w:cs="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4EBDAD-F25C-4923-B5F8-0F15B0BFAADC}">
  <ds:schemaRefs/>
</ds:datastoreItem>
</file>

<file path=customXml/itemProps2.xml><?xml version="1.0" encoding="utf-8"?>
<ds:datastoreItem xmlns:ds="http://schemas.openxmlformats.org/officeDocument/2006/customXml" ds:itemID="{7957D943-A877-475D-BA92-1F9DEC590F82}">
  <ds:schemaRefs/>
</ds:datastoreItem>
</file>

<file path=customXml/itemProps3.xml><?xml version="1.0" encoding="utf-8"?>
<ds:datastoreItem xmlns:ds="http://schemas.openxmlformats.org/officeDocument/2006/customXml" ds:itemID="{DE493EDE-3679-4263-A95C-CB3FBE678763}">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AFD3527F-078C-46FF-917C-D402B9DBDD85}">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3</Pages>
  <Words>1060</Words>
  <Characters>6048</Characters>
  <Lines>50</Lines>
  <Paragraphs>14</Paragraphs>
  <TotalTime>0</TotalTime>
  <ScaleCrop>false</ScaleCrop>
  <LinksUpToDate>false</LinksUpToDate>
  <CharactersWithSpaces>7094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R2-2302307</cp:lastModifiedBy>
  <dcterms:modified xsi:type="dcterms:W3CDTF">2023-08-11T03:04:07Z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89BF1C532835499EA86E35AEFAFAA69B</vt:lpwstr>
  </property>
</Properties>
</file>